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2C1EF5" w:rsidRPr="002C1EF5">
        <w:rPr>
          <w:rFonts w:ascii="Arial" w:hAnsi="Arial" w:cs="Arial"/>
          <w:b/>
          <w:sz w:val="18"/>
          <w:szCs w:val="18"/>
        </w:rPr>
        <w:t>RGKiOŚ.271.128.2019.EN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2C1EF5" w:rsidRPr="002C1E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trzech sztuk szklanych tablic magnetycznych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>ena brutto za 1 szt.</w:t>
            </w:r>
          </w:p>
        </w:tc>
        <w:tc>
          <w:tcPr>
            <w:tcW w:w="1237" w:type="dxa"/>
            <w:vAlign w:val="center"/>
          </w:tcPr>
          <w:p w:rsidR="002C1EF5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150x100 cm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573836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120x90 cm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Default="00573836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38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38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75E0"/>
    <w:rsid w:val="004A0982"/>
    <w:rsid w:val="004A4AA3"/>
    <w:rsid w:val="004E2D5C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2018-09-12T07:46:00Z</cp:lastPrinted>
  <dcterms:created xsi:type="dcterms:W3CDTF">2018-02-01T08:03:00Z</dcterms:created>
  <dcterms:modified xsi:type="dcterms:W3CDTF">2019-10-17T12:58:00Z</dcterms:modified>
</cp:coreProperties>
</file>